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0F" w:rsidRDefault="00585E34" w:rsidP="0024225B">
      <w:pPr>
        <w:spacing w:before="240" w:after="240"/>
        <w:jc w:val="center"/>
        <w:rPr>
          <w:b/>
          <w:sz w:val="28"/>
          <w:szCs w:val="32"/>
        </w:rPr>
      </w:pPr>
      <w:r>
        <w:rPr>
          <w:b/>
          <w:sz w:val="28"/>
          <w:szCs w:val="32"/>
        </w:rPr>
        <w:t>DÉCLARATION SUR L’HONNEUR RELATIVE</w:t>
      </w:r>
      <w:r>
        <w:rPr>
          <w:b/>
          <w:sz w:val="28"/>
          <w:szCs w:val="32"/>
        </w:rPr>
        <w:br/>
        <w:t>AUX CRITÈRES D'EXCLUSION</w:t>
      </w:r>
    </w:p>
    <w:p w:rsidR="00585E34" w:rsidRDefault="00585E34" w:rsidP="0024225B">
      <w:pPr>
        <w:spacing w:before="240" w:after="240"/>
        <w:jc w:val="center"/>
        <w:rPr>
          <w:b/>
          <w:sz w:val="28"/>
          <w:szCs w:val="32"/>
        </w:rPr>
      </w:pPr>
      <w:r w:rsidRPr="00585E34">
        <w:rPr>
          <w:b/>
          <w:sz w:val="28"/>
          <w:szCs w:val="32"/>
        </w:rPr>
        <w:t>(À fournir sign</w:t>
      </w:r>
      <w:r>
        <w:rPr>
          <w:b/>
          <w:sz w:val="28"/>
          <w:szCs w:val="32"/>
        </w:rPr>
        <w:t>é</w:t>
      </w:r>
      <w:r w:rsidRPr="00585E34">
        <w:rPr>
          <w:b/>
          <w:sz w:val="28"/>
          <w:szCs w:val="32"/>
        </w:rPr>
        <w:t xml:space="preserve"> avec la candidature sans modification du texte)</w:t>
      </w:r>
    </w:p>
    <w:p w:rsidR="007F3628" w:rsidRDefault="007F3628" w:rsidP="007F3628">
      <w:pPr>
        <w:jc w:val="both"/>
        <w:rPr>
          <w:i/>
        </w:rPr>
      </w:pPr>
    </w:p>
    <w:p w:rsidR="009B604E" w:rsidRDefault="009B604E" w:rsidP="009B604E">
      <w:pPr>
        <w:suppressAutoHyphens/>
        <w:autoSpaceDE w:val="0"/>
        <w:autoSpaceDN w:val="0"/>
        <w:adjustRightInd w:val="0"/>
        <w:spacing w:before="142" w:after="120" w:line="240" w:lineRule="atLeast"/>
        <w:jc w:val="both"/>
        <w:textAlignment w:val="baseline"/>
        <w:rPr>
          <w:iCs/>
        </w:rPr>
      </w:pPr>
      <w:r w:rsidRPr="009B604E">
        <w:rPr>
          <w:iCs/>
        </w:rPr>
        <w:t>À : __________________________________________________</w:t>
      </w:r>
      <w:r>
        <w:rPr>
          <w:iCs/>
        </w:rPr>
        <w:t>_</w:t>
      </w:r>
      <w:r w:rsidR="004252D9" w:rsidRPr="009B604E">
        <w:rPr>
          <w:iCs/>
        </w:rPr>
        <w:t>_ (</w:t>
      </w:r>
      <w:r w:rsidRPr="009B604E">
        <w:rPr>
          <w:iCs/>
        </w:rPr>
        <w:t>le"</w:t>
      </w:r>
      <w:r w:rsidRPr="009B604E">
        <w:rPr>
          <w:b/>
          <w:bCs/>
          <w:iCs/>
        </w:rPr>
        <w:t>Maître d’Ouvrage</w:t>
      </w:r>
      <w:r w:rsidRPr="009B604E">
        <w:rPr>
          <w:iCs/>
        </w:rPr>
        <w:t>")</w:t>
      </w:r>
    </w:p>
    <w:p w:rsidR="009B604E" w:rsidRDefault="009B604E" w:rsidP="009B604E">
      <w:pPr>
        <w:spacing w:before="100" w:beforeAutospacing="1" w:after="100" w:afterAutospacing="1"/>
        <w:jc w:val="both"/>
      </w:pPr>
      <w:r>
        <w:t>[Le][La] soussigné[e] [</w:t>
      </w:r>
      <w:r>
        <w:rPr>
          <w:i/>
          <w:highlight w:val="lightGray"/>
        </w:rPr>
        <w:t>N</w:t>
      </w:r>
      <w:r w:rsidRPr="00CD3F73">
        <w:rPr>
          <w:i/>
          <w:highlight w:val="lightGray"/>
        </w:rPr>
        <w:t>om du signataire du présent formulaire</w:t>
      </w:r>
      <w:r w:rsidR="004252D9">
        <w:t>] :</w:t>
      </w:r>
    </w:p>
    <w:p w:rsidR="009B604E" w:rsidRPr="009B604E" w:rsidRDefault="009B604E" w:rsidP="009B604E">
      <w:pPr>
        <w:jc w:val="both"/>
      </w:pPr>
      <w:r>
        <w:t xml:space="preserve">Numéro de carte d'identité ou de passeport : </w:t>
      </w:r>
    </w:p>
    <w:p w:rsidR="009B604E" w:rsidRDefault="009B604E" w:rsidP="007F3628">
      <w:pPr>
        <w:jc w:val="both"/>
        <w:rPr>
          <w:i/>
        </w:rPr>
      </w:pPr>
    </w:p>
    <w:p w:rsidR="00761D8C" w:rsidRDefault="00F25EAE" w:rsidP="00761D8C">
      <w:pPr>
        <w:pStyle w:val="Paragraphedeliste"/>
        <w:numPr>
          <w:ilvl w:val="0"/>
          <w:numId w:val="37"/>
        </w:numPr>
        <w:ind w:left="284" w:hanging="284"/>
        <w:jc w:val="both"/>
        <w:rPr>
          <w:iCs/>
        </w:rPr>
      </w:pPr>
      <w:r>
        <w:rPr>
          <w:iCs/>
        </w:rPr>
        <w:t>R</w:t>
      </w:r>
      <w:r w:rsidR="00761D8C" w:rsidRPr="00761D8C">
        <w:rPr>
          <w:iCs/>
        </w:rPr>
        <w:t>econnai</w:t>
      </w:r>
      <w:r>
        <w:rPr>
          <w:iCs/>
        </w:rPr>
        <w:t>t</w:t>
      </w:r>
      <w:r w:rsidR="00761D8C" w:rsidRPr="00761D8C">
        <w:rPr>
          <w:iCs/>
        </w:rPr>
        <w:t xml:space="preserve"> et accept</w:t>
      </w:r>
      <w:r w:rsidR="00A44A46">
        <w:rPr>
          <w:iCs/>
        </w:rPr>
        <w:t>e</w:t>
      </w:r>
      <w:r w:rsidR="00761D8C" w:rsidRPr="00761D8C">
        <w:rPr>
          <w:iCs/>
        </w:rPr>
        <w:t xml:space="preserve"> que l'Agence </w:t>
      </w:r>
      <w:r w:rsidR="00761D8C">
        <w:rPr>
          <w:iCs/>
        </w:rPr>
        <w:t>Italienne pour la Coopération au</w:t>
      </w:r>
      <w:r w:rsidR="00761D8C" w:rsidRPr="00761D8C">
        <w:rPr>
          <w:iCs/>
        </w:rPr>
        <w:t xml:space="preserve"> Développement (l'"A</w:t>
      </w:r>
      <w:r w:rsidR="00761D8C">
        <w:rPr>
          <w:iCs/>
        </w:rPr>
        <w:t>ICS</w:t>
      </w:r>
      <w:r w:rsidR="00761D8C" w:rsidRPr="00761D8C">
        <w:rPr>
          <w:iCs/>
        </w:rPr>
        <w:t>") ne finance les projets du Maître d’Ouvrage qu'à ses propres conditions qui sont déterminées par l</w:t>
      </w:r>
      <w:r w:rsidR="00761D8C">
        <w:rPr>
          <w:iCs/>
        </w:rPr>
        <w:t xml:space="preserve">e Protocol d’Accord </w:t>
      </w:r>
      <w:r w:rsidR="00761D8C" w:rsidRPr="00761D8C">
        <w:rPr>
          <w:iCs/>
        </w:rPr>
        <w:t>qui la lie directement ou indirectement au Maître d’Ouvrage</w:t>
      </w:r>
      <w:r>
        <w:rPr>
          <w:iCs/>
        </w:rPr>
        <w:t xml:space="preserve"> qui </w:t>
      </w:r>
      <w:r w:rsidR="00761D8C" w:rsidRPr="00761D8C">
        <w:rPr>
          <w:iCs/>
        </w:rPr>
        <w:t>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rsidR="00761D8C" w:rsidRDefault="00761D8C" w:rsidP="00761D8C">
      <w:pPr>
        <w:pStyle w:val="Paragraphedeliste"/>
        <w:ind w:left="284"/>
        <w:jc w:val="both"/>
        <w:rPr>
          <w:iCs/>
        </w:rPr>
      </w:pPr>
    </w:p>
    <w:p w:rsidR="00D50CCC" w:rsidRPr="00A44A46" w:rsidRDefault="00F25EAE" w:rsidP="007F3628">
      <w:pPr>
        <w:pStyle w:val="Paragraphedeliste"/>
        <w:numPr>
          <w:ilvl w:val="0"/>
          <w:numId w:val="37"/>
        </w:numPr>
        <w:ind w:left="284" w:hanging="284"/>
        <w:jc w:val="both"/>
        <w:rPr>
          <w:iCs/>
        </w:rPr>
      </w:pPr>
      <w:r w:rsidRPr="00F25EAE">
        <w:rPr>
          <w:iCs/>
        </w:rPr>
        <w:t xml:space="preserve">Déclare sur l’honneur que la </w:t>
      </w:r>
      <w:bookmarkStart w:id="0" w:name="_Hlk89691065"/>
      <w:r w:rsidR="004F524E">
        <w:rPr>
          <w:iCs/>
        </w:rPr>
        <w:t xml:space="preserve">personne </w:t>
      </w:r>
      <w:r w:rsidR="004F524E" w:rsidRPr="00F25EAE">
        <w:rPr>
          <w:iCs/>
        </w:rPr>
        <w:t>susmentionnée</w:t>
      </w:r>
      <w:r w:rsidR="004F524E">
        <w:rPr>
          <w:iCs/>
        </w:rPr>
        <w:t xml:space="preserve">, </w:t>
      </w:r>
      <w:bookmarkStart w:id="1" w:name="_Hlk89777931"/>
      <w:r w:rsidR="004F524E">
        <w:rPr>
          <w:iCs/>
        </w:rPr>
        <w:t>signataire du présent formulaire</w:t>
      </w:r>
      <w:bookmarkEnd w:id="0"/>
      <w:bookmarkEnd w:id="1"/>
      <w:r w:rsidR="004F524E">
        <w:rPr>
          <w:iCs/>
        </w:rPr>
        <w:t>,</w:t>
      </w:r>
      <w:r w:rsidR="00761D8C" w:rsidRPr="00761D8C">
        <w:rPr>
          <w:iCs/>
        </w:rPr>
        <w:t>n'est dans l'un des cas suivants :</w:t>
      </w:r>
    </w:p>
    <w:p w:rsidR="00D50CCC" w:rsidRDefault="00D50CCC" w:rsidP="007F3628">
      <w:pPr>
        <w:jc w:val="both"/>
      </w:pPr>
    </w:p>
    <w:p w:rsidR="00870994" w:rsidRPr="0008534E" w:rsidRDefault="0008534E" w:rsidP="00870994">
      <w:pPr>
        <w:pStyle w:val="Paragraphedeliste"/>
        <w:numPr>
          <w:ilvl w:val="0"/>
          <w:numId w:val="30"/>
        </w:numPr>
        <w:jc w:val="both"/>
      </w:pPr>
      <w:r w:rsidRPr="0008534E">
        <w:t>e</w:t>
      </w:r>
      <w:r w:rsidR="00D50CCC" w:rsidRPr="0008534E">
        <w:t>lleest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 ou de l'Union;</w:t>
      </w:r>
    </w:p>
    <w:p w:rsidR="00870994" w:rsidRPr="0008534E" w:rsidRDefault="00870994" w:rsidP="00870994">
      <w:pPr>
        <w:pStyle w:val="Paragraphedeliste"/>
        <w:numPr>
          <w:ilvl w:val="0"/>
          <w:numId w:val="30"/>
        </w:numPr>
        <w:jc w:val="both"/>
      </w:pPr>
      <w:r w:rsidRPr="0008534E">
        <w:t>il a été établi par un jugement définitif ou une décision administrative définitive qu’elle n’a pas respecté ses obligations relatives au paiement des impôts ou des cotisations de sécurité sociale conformément au droit applicable;</w:t>
      </w:r>
    </w:p>
    <w:p w:rsidR="00870994" w:rsidRPr="0008534E" w:rsidRDefault="00870994" w:rsidP="00870994">
      <w:pPr>
        <w:pStyle w:val="Paragraphedeliste"/>
        <w:numPr>
          <w:ilvl w:val="0"/>
          <w:numId w:val="30"/>
        </w:numPr>
        <w:jc w:val="both"/>
      </w:pPr>
      <w:r w:rsidRPr="0008534E">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rsidR="00870994" w:rsidRPr="0008534E" w:rsidRDefault="00870994" w:rsidP="00870994">
      <w:pPr>
        <w:pStyle w:val="Paragraphedeliste"/>
        <w:numPr>
          <w:ilvl w:val="0"/>
          <w:numId w:val="31"/>
        </w:numPr>
        <w:jc w:val="both"/>
        <w:rPr>
          <w:color w:val="000000"/>
        </w:rPr>
      </w:pPr>
      <w:bookmarkStart w:id="2" w:name="_DV_C368"/>
      <w:r w:rsidRPr="0008534E">
        <w:rPr>
          <w:color w:val="000000"/>
        </w:rPr>
        <w:t>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2"/>
    </w:p>
    <w:p w:rsidR="00870994" w:rsidRPr="0008534E" w:rsidRDefault="00093EA5" w:rsidP="00870994">
      <w:pPr>
        <w:pStyle w:val="Paragraphedeliste"/>
        <w:numPr>
          <w:ilvl w:val="0"/>
          <w:numId w:val="31"/>
        </w:numPr>
        <w:jc w:val="both"/>
      </w:pPr>
      <w:bookmarkStart w:id="3" w:name="_DV_C369"/>
      <w:r w:rsidRPr="0008534E">
        <w:rPr>
          <w:color w:val="000000"/>
        </w:rPr>
        <w:t>conclusion d'un accord avec d'autres personnes en vue de fausser la concurrence;</w:t>
      </w:r>
      <w:bookmarkEnd w:id="3"/>
    </w:p>
    <w:p w:rsidR="00093EA5" w:rsidRPr="0008534E" w:rsidRDefault="00093EA5" w:rsidP="00870994">
      <w:pPr>
        <w:pStyle w:val="Paragraphedeliste"/>
        <w:numPr>
          <w:ilvl w:val="0"/>
          <w:numId w:val="31"/>
        </w:numPr>
        <w:jc w:val="both"/>
      </w:pPr>
      <w:bookmarkStart w:id="4" w:name="_DV_C371"/>
      <w:r w:rsidRPr="0008534E">
        <w:rPr>
          <w:color w:val="000000"/>
        </w:rPr>
        <w:t>violation de droits de propriété intellectuelle;</w:t>
      </w:r>
      <w:bookmarkEnd w:id="4"/>
    </w:p>
    <w:p w:rsidR="00093EA5" w:rsidRPr="0008534E" w:rsidRDefault="00093EA5" w:rsidP="00870994">
      <w:pPr>
        <w:pStyle w:val="Paragraphedeliste"/>
        <w:numPr>
          <w:ilvl w:val="0"/>
          <w:numId w:val="31"/>
        </w:numPr>
        <w:jc w:val="both"/>
      </w:pPr>
      <w:bookmarkStart w:id="5" w:name="_DV_C372"/>
      <w:r w:rsidRPr="0008534E">
        <w:rPr>
          <w:color w:val="000000"/>
        </w:rPr>
        <w:t>tentative d'influer sur le processus décisionnel du pouvoir adjudicateur lors de la procédure d'attribution;</w:t>
      </w:r>
      <w:bookmarkEnd w:id="5"/>
    </w:p>
    <w:p w:rsidR="00093EA5" w:rsidRPr="0008534E" w:rsidRDefault="00093EA5" w:rsidP="00093EA5">
      <w:pPr>
        <w:pStyle w:val="Paragraphedeliste"/>
        <w:numPr>
          <w:ilvl w:val="0"/>
          <w:numId w:val="31"/>
        </w:numPr>
        <w:jc w:val="both"/>
      </w:pPr>
      <w:bookmarkStart w:id="6" w:name="_DV_C373"/>
      <w:r w:rsidRPr="0008534E">
        <w:rPr>
          <w:color w:val="000000"/>
        </w:rPr>
        <w:t>tentative d'obtenir des informations confidentielles susceptibles de lui donner un avantage indu lors de la procédure d'attribution</w:t>
      </w:r>
      <w:bookmarkEnd w:id="6"/>
      <w:r w:rsidRPr="0008534E">
        <w:t>;</w:t>
      </w:r>
    </w:p>
    <w:p w:rsidR="00093EA5" w:rsidRDefault="00093EA5" w:rsidP="00093EA5">
      <w:pPr>
        <w:pStyle w:val="Paragraphedeliste"/>
        <w:numPr>
          <w:ilvl w:val="0"/>
          <w:numId w:val="30"/>
        </w:numPr>
        <w:jc w:val="both"/>
      </w:pPr>
      <w:r>
        <w:lastRenderedPageBreak/>
        <w:t>il a été établi par un jugement définitif que la personne est coupable de l'un des faits suivants:</w:t>
      </w:r>
    </w:p>
    <w:p w:rsidR="00093EA5" w:rsidRDefault="00093EA5" w:rsidP="00093EA5">
      <w:pPr>
        <w:pStyle w:val="Paragraphedeliste"/>
        <w:numPr>
          <w:ilvl w:val="0"/>
          <w:numId w:val="33"/>
        </w:numPr>
        <w:jc w:val="both"/>
      </w:pPr>
      <w:r>
        <w:t>la fraude au sens de l’article 3 de la directive (UE) 2017/1371 et de l’article 1er de la convention relative à la protection des intérêts financiers des Communautés européennes, établie par l’acte du Conseil du 26 juillet 1995;</w:t>
      </w:r>
    </w:p>
    <w:p w:rsidR="00093EA5" w:rsidRDefault="00093EA5" w:rsidP="00093EA5">
      <w:pPr>
        <w:pStyle w:val="Paragraphedeliste"/>
        <w:numPr>
          <w:ilvl w:val="0"/>
          <w:numId w:val="33"/>
        </w:numPr>
        <w:jc w:val="both"/>
      </w:pPr>
      <w:r>
        <w:t>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 de l’Union européenne, établie par l’acte du Conseil du 26 mai 1997, ou les actes visés à l’article 2, paragraphe 1, de la décision-cadre 2003/568/JAI du Conseil, ainsi que la corruption telle qu’elle est définie dans d’autres droits applicables;</w:t>
      </w:r>
    </w:p>
    <w:p w:rsidR="00093EA5" w:rsidRDefault="00093EA5" w:rsidP="00093EA5">
      <w:pPr>
        <w:pStyle w:val="Paragraphedeliste"/>
        <w:numPr>
          <w:ilvl w:val="0"/>
          <w:numId w:val="33"/>
        </w:numPr>
        <w:jc w:val="both"/>
      </w:pPr>
      <w:r>
        <w:t>les comportements liés à une organisation criminelle tels que visés à l’article 2 de la décision-cadre 2008/841/JAI du Conseil;</w:t>
      </w:r>
    </w:p>
    <w:p w:rsidR="00093EA5" w:rsidRDefault="00093EA5" w:rsidP="00093EA5">
      <w:pPr>
        <w:pStyle w:val="Paragraphedeliste"/>
        <w:numPr>
          <w:ilvl w:val="0"/>
          <w:numId w:val="33"/>
        </w:numPr>
        <w:jc w:val="both"/>
      </w:pPr>
      <w:r>
        <w:t>le blanchiment de capitaux ou le financement du terrorisme au sens de l’article 1er, paragraphes 3, 4 et 5, de la directive (UE) 2015/849 du Parlement européen et du Conseil;</w:t>
      </w:r>
    </w:p>
    <w:p w:rsidR="00093EA5" w:rsidRDefault="00093EA5" w:rsidP="00093EA5">
      <w:pPr>
        <w:pStyle w:val="Paragraphedeliste"/>
        <w:numPr>
          <w:ilvl w:val="0"/>
          <w:numId w:val="33"/>
        </w:numPr>
        <w:jc w:val="both"/>
      </w:pPr>
      <w:r>
        <w:t>les infractions terroristes ou les infractions liées aux activités terroristes au sens respectivement de l'article 1er et de l'article 3 de la décision-cadre 2002/475/JAI du Conseil, ou l’incitation à commettre une infraction, la complicité ou la tentative d'infraction telles qu'elles sont visées à l'article 4 de ladite décision;</w:t>
      </w:r>
    </w:p>
    <w:p w:rsidR="00093EA5" w:rsidRDefault="00093EA5" w:rsidP="00093EA5">
      <w:pPr>
        <w:pStyle w:val="Paragraphedeliste"/>
        <w:numPr>
          <w:ilvl w:val="0"/>
          <w:numId w:val="33"/>
        </w:numPr>
        <w:jc w:val="both"/>
      </w:pPr>
      <w:r>
        <w:t>le travail des enfants ou les autres infractions liées à la traite des êtres humains visées à l'article 2 de la directive 2011/36/UE du Parlement européen et du Conseil;</w:t>
      </w:r>
    </w:p>
    <w:p w:rsidR="00093EA5" w:rsidRPr="0008534E" w:rsidRDefault="00093EA5" w:rsidP="00093EA5">
      <w:pPr>
        <w:pStyle w:val="Paragraphedeliste"/>
        <w:numPr>
          <w:ilvl w:val="0"/>
          <w:numId w:val="30"/>
        </w:numPr>
        <w:jc w:val="both"/>
      </w:pPr>
      <w:r w:rsidRPr="0008534E">
        <w:t>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w:t>
      </w:r>
    </w:p>
    <w:p w:rsidR="00093EA5" w:rsidRPr="0008534E" w:rsidRDefault="00093EA5" w:rsidP="00093EA5">
      <w:pPr>
        <w:pStyle w:val="Paragraphedeliste"/>
        <w:numPr>
          <w:ilvl w:val="0"/>
          <w:numId w:val="30"/>
        </w:numPr>
        <w:jc w:val="both"/>
      </w:pPr>
      <w:r w:rsidRPr="0008534E">
        <w:t>il a été établi par un jugement définitif ou une décision administrative définitive qu'elle a commis une irrégularité au sens de l'article 1</w:t>
      </w:r>
      <w:r w:rsidRPr="0008534E">
        <w:rPr>
          <w:vertAlign w:val="superscript"/>
        </w:rPr>
        <w:t>er</w:t>
      </w:r>
      <w:r w:rsidRPr="0008534E">
        <w:t>, paragraphe 2, du règlement (CE, Euratom) n° 2988/95 du Conseil;</w:t>
      </w:r>
    </w:p>
    <w:p w:rsidR="00093EA5" w:rsidRPr="0008534E" w:rsidRDefault="00093EA5" w:rsidP="00093EA5">
      <w:pPr>
        <w:pStyle w:val="Paragraphedeliste"/>
        <w:numPr>
          <w:ilvl w:val="0"/>
          <w:numId w:val="30"/>
        </w:numPr>
        <w:jc w:val="both"/>
      </w:pPr>
      <w:r w:rsidRPr="0008534E">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rsidR="00093EA5" w:rsidRPr="0008534E" w:rsidRDefault="00093EA5" w:rsidP="00093EA5">
      <w:pPr>
        <w:pStyle w:val="Paragraphedeliste"/>
        <w:numPr>
          <w:ilvl w:val="0"/>
          <w:numId w:val="30"/>
        </w:numPr>
        <w:jc w:val="both"/>
      </w:pPr>
      <w:r w:rsidRPr="0008534E">
        <w:rPr>
          <w:color w:val="000000"/>
        </w:rPr>
        <w:t xml:space="preserve">pour les situations visées aux points c) à </w:t>
      </w:r>
      <w:r w:rsidR="0008534E">
        <w:rPr>
          <w:color w:val="000000"/>
        </w:rPr>
        <w:t>g</w:t>
      </w:r>
      <w:r w:rsidRPr="0008534E">
        <w:rPr>
          <w:color w:val="000000"/>
        </w:rPr>
        <w:t xml:space="preserve">) ci-dessus, la personne </w:t>
      </w:r>
      <w:r w:rsidR="0008534E" w:rsidRPr="0008534E">
        <w:rPr>
          <w:color w:val="000000"/>
        </w:rPr>
        <w:t xml:space="preserve">ne </w:t>
      </w:r>
      <w:r w:rsidRPr="0008534E">
        <w:rPr>
          <w:color w:val="000000"/>
        </w:rPr>
        <w:t xml:space="preserve">tombe </w:t>
      </w:r>
      <w:r w:rsidR="0008534E" w:rsidRPr="0008534E">
        <w:rPr>
          <w:color w:val="000000"/>
        </w:rPr>
        <w:t xml:space="preserve">pas </w:t>
      </w:r>
      <w:r w:rsidRPr="0008534E">
        <w:rPr>
          <w:color w:val="000000"/>
        </w:rPr>
        <w:t>sous le coup:</w:t>
      </w:r>
    </w:p>
    <w:p w:rsidR="00585E34" w:rsidRDefault="00093EA5" w:rsidP="00585E34">
      <w:pPr>
        <w:pStyle w:val="Text1"/>
        <w:numPr>
          <w:ilvl w:val="0"/>
          <w:numId w:val="35"/>
        </w:numPr>
        <w:spacing w:before="40" w:after="40"/>
        <w:ind w:left="1276" w:hanging="425"/>
        <w:rPr>
          <w:color w:val="000000"/>
        </w:rPr>
      </w:pPr>
      <w:r w:rsidRPr="0008534E">
        <w:rPr>
          <w:color w:val="000000"/>
        </w:rPr>
        <w:t>de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rsidR="00585E34" w:rsidRDefault="00093EA5" w:rsidP="00585E34">
      <w:pPr>
        <w:pStyle w:val="Text1"/>
        <w:numPr>
          <w:ilvl w:val="0"/>
          <w:numId w:val="35"/>
        </w:numPr>
        <w:spacing w:before="40" w:after="40"/>
        <w:ind w:left="1276" w:hanging="425"/>
        <w:rPr>
          <w:color w:val="000000"/>
        </w:rPr>
      </w:pPr>
      <w:r w:rsidRPr="00585E34">
        <w:rPr>
          <w:color w:val="000000"/>
        </w:rPr>
        <w:t>de jugements non définitifs ou de décisions administratives non définitives, y compris le cas échéant de mesures disciplinaires prises par l’organe de surveillance compétent qui est chargé de vérifier l’application des normes de déontologie professionnelle;</w:t>
      </w:r>
    </w:p>
    <w:p w:rsidR="00585E34" w:rsidRDefault="00093EA5" w:rsidP="00585E34">
      <w:pPr>
        <w:pStyle w:val="Text1"/>
        <w:numPr>
          <w:ilvl w:val="0"/>
          <w:numId w:val="35"/>
        </w:numPr>
        <w:spacing w:before="40" w:after="40"/>
        <w:ind w:left="1276" w:hanging="425"/>
        <w:rPr>
          <w:color w:val="000000"/>
        </w:rPr>
      </w:pPr>
      <w:r w:rsidRPr="00585E34">
        <w:rPr>
          <w:color w:val="000000"/>
        </w:rPr>
        <w:t>de faits visés dans les décisions des entités ou des personnes chargées de tâches d’exécution du budget de l’UE;</w:t>
      </w:r>
    </w:p>
    <w:p w:rsidR="00585E34" w:rsidRDefault="00093EA5" w:rsidP="00585E34">
      <w:pPr>
        <w:pStyle w:val="Text1"/>
        <w:numPr>
          <w:ilvl w:val="0"/>
          <w:numId w:val="35"/>
        </w:numPr>
        <w:spacing w:before="40" w:after="40"/>
        <w:ind w:left="1276" w:hanging="425"/>
        <w:rPr>
          <w:color w:val="000000"/>
        </w:rPr>
      </w:pPr>
      <w:r w:rsidRPr="00585E34">
        <w:rPr>
          <w:color w:val="000000"/>
        </w:rPr>
        <w:lastRenderedPageBreak/>
        <w:t>d’informations transmises par des États membres qui exécutent des fonds de l’Union;</w:t>
      </w:r>
    </w:p>
    <w:p w:rsidR="00585E34" w:rsidRDefault="00093EA5" w:rsidP="00585E34">
      <w:pPr>
        <w:pStyle w:val="Text1"/>
        <w:numPr>
          <w:ilvl w:val="0"/>
          <w:numId w:val="35"/>
        </w:numPr>
        <w:spacing w:before="40" w:after="40"/>
        <w:ind w:left="1276" w:hanging="425"/>
        <w:rPr>
          <w:color w:val="000000"/>
        </w:rPr>
      </w:pPr>
      <w:r w:rsidRPr="00585E34">
        <w:rPr>
          <w:color w:val="000000"/>
        </w:rPr>
        <w:t>de décisions de la Commission relatives à la violation du droit de l’Union dans le domaine de la concurrence ou de décisions d’une autorité nationale compétente concernant la violation du droit de l’Union ou du droit national en matière de concurrence; ou</w:t>
      </w:r>
    </w:p>
    <w:p w:rsidR="00DC56F6" w:rsidRPr="00585E34" w:rsidRDefault="00093EA5" w:rsidP="00585E34">
      <w:pPr>
        <w:pStyle w:val="Text1"/>
        <w:numPr>
          <w:ilvl w:val="0"/>
          <w:numId w:val="35"/>
        </w:numPr>
        <w:spacing w:before="40" w:after="40"/>
        <w:ind w:left="1276" w:hanging="425"/>
        <w:rPr>
          <w:color w:val="000000"/>
        </w:rPr>
      </w:pPr>
      <w:r w:rsidRPr="00585E34">
        <w:rPr>
          <w:color w:val="000000"/>
        </w:rPr>
        <w:t>de décisions d'exclusion prises par un ordonnateur d'une institution de l'UE, d'un organisme européen ou d'une agence ou d'un organe de l'UE.</w:t>
      </w:r>
    </w:p>
    <w:p w:rsidR="001C5CDF" w:rsidRDefault="001C5CDF" w:rsidP="004D4F4A">
      <w:pPr>
        <w:spacing w:before="40" w:after="40"/>
        <w:jc w:val="both"/>
        <w:rPr>
          <w:noProof/>
        </w:rPr>
      </w:pPr>
    </w:p>
    <w:p w:rsidR="00670F39" w:rsidRDefault="00670F39" w:rsidP="004D4F4A">
      <w:pPr>
        <w:spacing w:before="40" w:after="40"/>
        <w:jc w:val="both"/>
        <w:rPr>
          <w:b/>
          <w:i/>
          <w:noProof/>
        </w:rPr>
      </w:pPr>
      <w:r>
        <w:rPr>
          <w:b/>
          <w:i/>
        </w:rPr>
        <w:t xml:space="preserve">La personne </w:t>
      </w:r>
      <w:r w:rsidR="004252D9" w:rsidRPr="004252D9">
        <w:rPr>
          <w:b/>
          <w:i/>
        </w:rPr>
        <w:t>signataire du présent formulaire</w:t>
      </w:r>
      <w:r>
        <w:rPr>
          <w:b/>
          <w:i/>
        </w:rPr>
        <w:t xml:space="preserve"> doit immédiatement informer le pouvoir adjudicateur de toute modification de la situation déclarée.</w:t>
      </w:r>
    </w:p>
    <w:p w:rsidR="00670F39" w:rsidRDefault="00670F39" w:rsidP="004D4F4A">
      <w:pPr>
        <w:spacing w:before="40" w:after="40"/>
        <w:jc w:val="both"/>
        <w:rPr>
          <w:b/>
          <w:i/>
          <w:noProof/>
        </w:rPr>
      </w:pPr>
    </w:p>
    <w:p w:rsidR="00BA61F8" w:rsidRDefault="00BA61F8" w:rsidP="004D4F4A">
      <w:pPr>
        <w:spacing w:before="40" w:after="40"/>
        <w:jc w:val="both"/>
        <w:rPr>
          <w:b/>
          <w:i/>
        </w:rPr>
      </w:pPr>
      <w:r>
        <w:rPr>
          <w:b/>
          <w:i/>
        </w:rPr>
        <w:t xml:space="preserve">La personne </w:t>
      </w:r>
      <w:r w:rsidR="004252D9" w:rsidRPr="004252D9">
        <w:rPr>
          <w:b/>
          <w:i/>
        </w:rPr>
        <w:t>signataire du présent formulaire</w:t>
      </w:r>
      <w:r>
        <w:rPr>
          <w:b/>
          <w:i/>
        </w:rPr>
        <w:t xml:space="preserv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0D08E9" w:rsidRDefault="000D08E9" w:rsidP="004D4F4A">
      <w:pPr>
        <w:spacing w:before="40" w:after="40"/>
        <w:jc w:val="both"/>
        <w:rPr>
          <w:b/>
          <w:i/>
          <w:noProof/>
        </w:rPr>
      </w:pP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t>Nom et prénoms</w:t>
      </w:r>
      <w:r>
        <w:tab/>
        <w:t>Date</w:t>
      </w:r>
      <w:r>
        <w:tab/>
        <w:t>Signature</w:t>
      </w:r>
    </w:p>
    <w:p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73" w:rsidRDefault="00B76C73">
      <w:r>
        <w:separator/>
      </w:r>
    </w:p>
  </w:endnote>
  <w:endnote w:type="continuationSeparator" w:id="1">
    <w:p w:rsidR="00B76C73" w:rsidRDefault="00B76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317728"/>
      <w:docPartObj>
        <w:docPartGallery w:val="Page Numbers (Bottom of Page)"/>
        <w:docPartUnique/>
      </w:docPartObj>
    </w:sdtPr>
    <w:sdtEndPr>
      <w:rPr>
        <w:noProof/>
      </w:rPr>
    </w:sdtEndPr>
    <w:sdtContent>
      <w:p w:rsidR="00B36043" w:rsidRDefault="00E73E17">
        <w:pPr>
          <w:pStyle w:val="Pieddepage"/>
          <w:jc w:val="center"/>
        </w:pPr>
        <w:r>
          <w:fldChar w:fldCharType="begin"/>
        </w:r>
        <w:r w:rsidR="00036070">
          <w:instrText xml:space="preserve"> PAGE   \* MERGEFORMAT </w:instrText>
        </w:r>
        <w:r>
          <w:fldChar w:fldCharType="separate"/>
        </w:r>
        <w:r w:rsidR="00CE7BA9">
          <w:rPr>
            <w:noProof/>
          </w:rPr>
          <w:t>2</w:t>
        </w:r>
        <w:r>
          <w:fldChar w:fldCharType="end"/>
        </w:r>
      </w:p>
    </w:sdtContent>
  </w:sdt>
  <w:p w:rsidR="006E7570" w:rsidRDefault="006E75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73" w:rsidRDefault="00B76C73">
      <w:r>
        <w:separator/>
      </w:r>
    </w:p>
  </w:footnote>
  <w:footnote w:type="continuationSeparator" w:id="1">
    <w:p w:rsidR="00B76C73" w:rsidRDefault="00B76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70" w:rsidRPr="004A3BDB" w:rsidRDefault="006E7570" w:rsidP="000D08E9">
    <w:pPr>
      <w:pStyle w:val="En-tte"/>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2C732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2394C"/>
    <w:multiLevelType w:val="hybridMultilevel"/>
    <w:tmpl w:val="952421B2"/>
    <w:lvl w:ilvl="0" w:tplc="29A05692">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2E46FB"/>
    <w:multiLevelType w:val="hybridMultilevel"/>
    <w:tmpl w:val="B6300190"/>
    <w:lvl w:ilvl="0" w:tplc="0410001B">
      <w:start w:val="1"/>
      <w:numFmt w:val="lowerRoman"/>
      <w:lvlText w:val="%1."/>
      <w:lvlJc w:val="right"/>
      <w:pPr>
        <w:ind w:left="1082" w:hanging="360"/>
      </w:pPr>
    </w:lvl>
    <w:lvl w:ilvl="1" w:tplc="08090019">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7">
    <w:nsid w:val="21934A21"/>
    <w:multiLevelType w:val="hybridMultilevel"/>
    <w:tmpl w:val="F022F7CE"/>
    <w:lvl w:ilvl="0" w:tplc="629C64D0">
      <w:start w:val="1"/>
      <w:numFmt w:val="lowerRoman"/>
      <w:lvlText w:val="%1)"/>
      <w:lvlJc w:val="right"/>
      <w:pPr>
        <w:ind w:left="1082" w:hanging="360"/>
      </w:pPr>
      <w:rPr>
        <w:rFonts w:ascii="Times New Roman" w:eastAsia="Times New Roman" w:hAnsi="Times New Roman" w:cs="Times New Roman"/>
      </w:rPr>
    </w:lvl>
    <w:lvl w:ilvl="1" w:tplc="08090019">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8">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nsid w:val="2B98268E"/>
    <w:multiLevelType w:val="hybridMultilevel"/>
    <w:tmpl w:val="B9B00E0E"/>
    <w:lvl w:ilvl="0" w:tplc="629C64D0">
      <w:start w:val="1"/>
      <w:numFmt w:val="lowerRoman"/>
      <w:lvlText w:val="%1)"/>
      <w:lvlJc w:val="right"/>
      <w:pPr>
        <w:ind w:left="1082" w:hanging="360"/>
      </w:pPr>
      <w:rPr>
        <w:rFonts w:ascii="Times New Roman" w:eastAsia="Times New Roman" w:hAnsi="Times New Roman" w:cs="Times New Roman"/>
      </w:rPr>
    </w:lvl>
    <w:lvl w:ilvl="1" w:tplc="08090019">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2CF440C6"/>
    <w:multiLevelType w:val="multilevel"/>
    <w:tmpl w:val="4CB06F8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nsid w:val="2E5C38F8"/>
    <w:multiLevelType w:val="hybridMultilevel"/>
    <w:tmpl w:val="EF3672B4"/>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9D41C9"/>
    <w:multiLevelType w:val="hybridMultilevel"/>
    <w:tmpl w:val="5936F3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F6B35C5"/>
    <w:multiLevelType w:val="hybridMultilevel"/>
    <w:tmpl w:val="3556B3D4"/>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45120195"/>
    <w:multiLevelType w:val="hybridMultilevel"/>
    <w:tmpl w:val="40E63E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191A84"/>
    <w:multiLevelType w:val="hybridMultilevel"/>
    <w:tmpl w:val="B3A8A7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A336B8"/>
    <w:multiLevelType w:val="hybridMultilevel"/>
    <w:tmpl w:val="765C48FC"/>
    <w:lvl w:ilvl="0" w:tplc="0672C34A">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E12590F"/>
    <w:multiLevelType w:val="multilevel"/>
    <w:tmpl w:val="BEBA5B9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331A99"/>
    <w:multiLevelType w:val="hybridMultilevel"/>
    <w:tmpl w:val="86026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4">
    <w:nsid w:val="63EF1BB9"/>
    <w:multiLevelType w:val="hybridMultilevel"/>
    <w:tmpl w:val="367EF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1">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6">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2"/>
  </w:num>
  <w:num w:numId="2">
    <w:abstractNumId w:val="0"/>
  </w:num>
  <w:num w:numId="3">
    <w:abstractNumId w:val="27"/>
  </w:num>
  <w:num w:numId="4">
    <w:abstractNumId w:val="5"/>
  </w:num>
  <w:num w:numId="5">
    <w:abstractNumId w:val="25"/>
  </w:num>
  <w:num w:numId="6">
    <w:abstractNumId w:val="14"/>
  </w:num>
  <w:num w:numId="7">
    <w:abstractNumId w:val="36"/>
  </w:num>
  <w:num w:numId="8">
    <w:abstractNumId w:val="26"/>
  </w:num>
  <w:num w:numId="9">
    <w:abstractNumId w:val="12"/>
  </w:num>
  <w:num w:numId="10">
    <w:abstractNumId w:val="8"/>
  </w:num>
  <w:num w:numId="11">
    <w:abstractNumId w:val="3"/>
  </w:num>
  <w:num w:numId="12">
    <w:abstractNumId w:val="31"/>
  </w:num>
  <w:num w:numId="13">
    <w:abstractNumId w:val="35"/>
  </w:num>
  <w:num w:numId="14">
    <w:abstractNumId w:val="29"/>
  </w:num>
  <w:num w:numId="15">
    <w:abstractNumId w:val="11"/>
  </w:num>
  <w:num w:numId="16">
    <w:abstractNumId w:val="30"/>
  </w:num>
  <w:num w:numId="17">
    <w:abstractNumId w:val="13"/>
  </w:num>
  <w:num w:numId="18">
    <w:abstractNumId w:val="1"/>
  </w:num>
  <w:num w:numId="19">
    <w:abstractNumId w:val="4"/>
  </w:num>
  <w:num w:numId="20">
    <w:abstractNumId w:val="28"/>
  </w:num>
  <w:num w:numId="21">
    <w:abstractNumId w:val="34"/>
  </w:num>
  <w:num w:numId="22">
    <w:abstractNumId w:val="23"/>
  </w:num>
  <w:num w:numId="23">
    <w:abstractNumId w:val="33"/>
  </w:num>
  <w:num w:numId="24">
    <w:abstractNumId w:val="21"/>
  </w:num>
  <w:num w:numId="25">
    <w:abstractNumId w:val="7"/>
  </w:num>
  <w:num w:numId="26">
    <w:abstractNumId w:val="17"/>
  </w:num>
  <w:num w:numId="27">
    <w:abstractNumId w:val="16"/>
  </w:num>
  <w:num w:numId="28">
    <w:abstractNumId w:val="10"/>
  </w:num>
  <w:num w:numId="29">
    <w:abstractNumId w:val="18"/>
  </w:num>
  <w:num w:numId="30">
    <w:abstractNumId w:val="15"/>
  </w:num>
  <w:num w:numId="31">
    <w:abstractNumId w:val="2"/>
  </w:num>
  <w:num w:numId="32">
    <w:abstractNumId w:val="19"/>
  </w:num>
  <w:num w:numId="33">
    <w:abstractNumId w:val="20"/>
  </w:num>
  <w:num w:numId="34">
    <w:abstractNumId w:val="6"/>
  </w:num>
  <w:num w:numId="35">
    <w:abstractNumId w:val="9"/>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0"/>
  <w:hyphenationZone w:val="425"/>
  <w:characterSpacingControl w:val="doNotCompress"/>
  <w:hdrShapeDefaults>
    <o:shapedefaults v:ext="edit" spidmax="4098"/>
  </w:hdrShapeDefaults>
  <w:footnotePr>
    <w:footnote w:id="0"/>
    <w:footnote w:id="1"/>
  </w:footnotePr>
  <w:endnotePr>
    <w:endnote w:id="0"/>
    <w:endnote w:id="1"/>
  </w:endnotePr>
  <w:compat/>
  <w:docVars>
    <w:docVar w:name="LW_DocType" w:val="NORMAL"/>
  </w:docVars>
  <w:rsids>
    <w:rsidRoot w:val="00DA410F"/>
    <w:rsid w:val="000000DA"/>
    <w:rsid w:val="00000D90"/>
    <w:rsid w:val="00011D8F"/>
    <w:rsid w:val="000134F6"/>
    <w:rsid w:val="0003236B"/>
    <w:rsid w:val="00036070"/>
    <w:rsid w:val="00055F7F"/>
    <w:rsid w:val="00060716"/>
    <w:rsid w:val="00064BE7"/>
    <w:rsid w:val="0008534E"/>
    <w:rsid w:val="00086A53"/>
    <w:rsid w:val="00091483"/>
    <w:rsid w:val="00093EA5"/>
    <w:rsid w:val="000A6F71"/>
    <w:rsid w:val="000B1CF8"/>
    <w:rsid w:val="000C1CD2"/>
    <w:rsid w:val="000C2EE8"/>
    <w:rsid w:val="000C68B3"/>
    <w:rsid w:val="000D08E9"/>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82884"/>
    <w:rsid w:val="00190F10"/>
    <w:rsid w:val="001A7C52"/>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04B51"/>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4E22"/>
    <w:rsid w:val="00425174"/>
    <w:rsid w:val="004252D9"/>
    <w:rsid w:val="00437501"/>
    <w:rsid w:val="00452C5D"/>
    <w:rsid w:val="0046077A"/>
    <w:rsid w:val="004613D0"/>
    <w:rsid w:val="00466AA5"/>
    <w:rsid w:val="00472347"/>
    <w:rsid w:val="004729C1"/>
    <w:rsid w:val="004764EF"/>
    <w:rsid w:val="00476C53"/>
    <w:rsid w:val="004948AD"/>
    <w:rsid w:val="004949D8"/>
    <w:rsid w:val="004A3BDB"/>
    <w:rsid w:val="004A4B4A"/>
    <w:rsid w:val="004B187F"/>
    <w:rsid w:val="004B1983"/>
    <w:rsid w:val="004B29AF"/>
    <w:rsid w:val="004D4F4A"/>
    <w:rsid w:val="004D4F81"/>
    <w:rsid w:val="004E37B5"/>
    <w:rsid w:val="004F524E"/>
    <w:rsid w:val="0050151E"/>
    <w:rsid w:val="00501E73"/>
    <w:rsid w:val="005063A7"/>
    <w:rsid w:val="00515AA9"/>
    <w:rsid w:val="00520212"/>
    <w:rsid w:val="00534B2D"/>
    <w:rsid w:val="00556732"/>
    <w:rsid w:val="00564AE3"/>
    <w:rsid w:val="00564B62"/>
    <w:rsid w:val="00567B22"/>
    <w:rsid w:val="00583379"/>
    <w:rsid w:val="00585E34"/>
    <w:rsid w:val="00590E7C"/>
    <w:rsid w:val="005A24DC"/>
    <w:rsid w:val="005B251C"/>
    <w:rsid w:val="005B4A26"/>
    <w:rsid w:val="005C6293"/>
    <w:rsid w:val="005E41BC"/>
    <w:rsid w:val="005E5268"/>
    <w:rsid w:val="006110CC"/>
    <w:rsid w:val="00614140"/>
    <w:rsid w:val="00616BD5"/>
    <w:rsid w:val="0063730B"/>
    <w:rsid w:val="00652D54"/>
    <w:rsid w:val="006572BD"/>
    <w:rsid w:val="00664C39"/>
    <w:rsid w:val="00670A9C"/>
    <w:rsid w:val="00670F39"/>
    <w:rsid w:val="00672EE1"/>
    <w:rsid w:val="00693DC0"/>
    <w:rsid w:val="006945B2"/>
    <w:rsid w:val="006950F4"/>
    <w:rsid w:val="006A5BCA"/>
    <w:rsid w:val="006B218F"/>
    <w:rsid w:val="006B7C44"/>
    <w:rsid w:val="006C5DA3"/>
    <w:rsid w:val="006C6DFD"/>
    <w:rsid w:val="006D1760"/>
    <w:rsid w:val="006E113F"/>
    <w:rsid w:val="006E194A"/>
    <w:rsid w:val="006E7570"/>
    <w:rsid w:val="006F0432"/>
    <w:rsid w:val="006F2DF6"/>
    <w:rsid w:val="007105F4"/>
    <w:rsid w:val="00713443"/>
    <w:rsid w:val="00716B55"/>
    <w:rsid w:val="00721D13"/>
    <w:rsid w:val="00730771"/>
    <w:rsid w:val="00735919"/>
    <w:rsid w:val="00735CDD"/>
    <w:rsid w:val="00753333"/>
    <w:rsid w:val="00761D8C"/>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4B7"/>
    <w:rsid w:val="007F3628"/>
    <w:rsid w:val="007F7A4B"/>
    <w:rsid w:val="0080588E"/>
    <w:rsid w:val="00810432"/>
    <w:rsid w:val="008243B1"/>
    <w:rsid w:val="00827F90"/>
    <w:rsid w:val="0084444D"/>
    <w:rsid w:val="00844FAA"/>
    <w:rsid w:val="00845AA5"/>
    <w:rsid w:val="00855A0B"/>
    <w:rsid w:val="00863E25"/>
    <w:rsid w:val="008652A3"/>
    <w:rsid w:val="00870994"/>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B604E"/>
    <w:rsid w:val="009D19B9"/>
    <w:rsid w:val="009F09C3"/>
    <w:rsid w:val="009F5E6E"/>
    <w:rsid w:val="00A25C17"/>
    <w:rsid w:val="00A278B9"/>
    <w:rsid w:val="00A40405"/>
    <w:rsid w:val="00A44A46"/>
    <w:rsid w:val="00A52221"/>
    <w:rsid w:val="00A64343"/>
    <w:rsid w:val="00A67419"/>
    <w:rsid w:val="00A87769"/>
    <w:rsid w:val="00AA00F5"/>
    <w:rsid w:val="00AA0A0C"/>
    <w:rsid w:val="00AA10D6"/>
    <w:rsid w:val="00AB251A"/>
    <w:rsid w:val="00AB30FA"/>
    <w:rsid w:val="00AB7525"/>
    <w:rsid w:val="00AC117F"/>
    <w:rsid w:val="00AD1D16"/>
    <w:rsid w:val="00AD26DC"/>
    <w:rsid w:val="00AD3CBA"/>
    <w:rsid w:val="00AD516D"/>
    <w:rsid w:val="00AE5C0E"/>
    <w:rsid w:val="00AF508E"/>
    <w:rsid w:val="00AF5AA2"/>
    <w:rsid w:val="00AF6D8E"/>
    <w:rsid w:val="00B007D1"/>
    <w:rsid w:val="00B131CB"/>
    <w:rsid w:val="00B13667"/>
    <w:rsid w:val="00B26822"/>
    <w:rsid w:val="00B316EE"/>
    <w:rsid w:val="00B36043"/>
    <w:rsid w:val="00B418F3"/>
    <w:rsid w:val="00B633BF"/>
    <w:rsid w:val="00B76C73"/>
    <w:rsid w:val="00B84C49"/>
    <w:rsid w:val="00B8564B"/>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56294"/>
    <w:rsid w:val="00C61FE0"/>
    <w:rsid w:val="00C67D45"/>
    <w:rsid w:val="00C734EA"/>
    <w:rsid w:val="00C74EBC"/>
    <w:rsid w:val="00C84BEF"/>
    <w:rsid w:val="00C86C9B"/>
    <w:rsid w:val="00C87D95"/>
    <w:rsid w:val="00C9305E"/>
    <w:rsid w:val="00C94059"/>
    <w:rsid w:val="00C974B3"/>
    <w:rsid w:val="00CA27B0"/>
    <w:rsid w:val="00CA5311"/>
    <w:rsid w:val="00CB406E"/>
    <w:rsid w:val="00CB5635"/>
    <w:rsid w:val="00CC289B"/>
    <w:rsid w:val="00CC78A2"/>
    <w:rsid w:val="00CD27BA"/>
    <w:rsid w:val="00CD3F73"/>
    <w:rsid w:val="00CE5846"/>
    <w:rsid w:val="00CE7BA9"/>
    <w:rsid w:val="00CE7C9A"/>
    <w:rsid w:val="00CF7AF0"/>
    <w:rsid w:val="00D10011"/>
    <w:rsid w:val="00D13F4B"/>
    <w:rsid w:val="00D177A8"/>
    <w:rsid w:val="00D20F91"/>
    <w:rsid w:val="00D231DD"/>
    <w:rsid w:val="00D37B9A"/>
    <w:rsid w:val="00D4254D"/>
    <w:rsid w:val="00D50CCC"/>
    <w:rsid w:val="00D522D3"/>
    <w:rsid w:val="00D640BE"/>
    <w:rsid w:val="00D841AD"/>
    <w:rsid w:val="00D875FE"/>
    <w:rsid w:val="00D9381D"/>
    <w:rsid w:val="00DA286B"/>
    <w:rsid w:val="00DA410F"/>
    <w:rsid w:val="00DA59FF"/>
    <w:rsid w:val="00DB62BC"/>
    <w:rsid w:val="00DC3E96"/>
    <w:rsid w:val="00DC56F6"/>
    <w:rsid w:val="00DE5E11"/>
    <w:rsid w:val="00DF0B6B"/>
    <w:rsid w:val="00DF45B2"/>
    <w:rsid w:val="00E00149"/>
    <w:rsid w:val="00E012CB"/>
    <w:rsid w:val="00E12354"/>
    <w:rsid w:val="00E1585B"/>
    <w:rsid w:val="00E2030C"/>
    <w:rsid w:val="00E21446"/>
    <w:rsid w:val="00E33977"/>
    <w:rsid w:val="00E53B02"/>
    <w:rsid w:val="00E6004E"/>
    <w:rsid w:val="00E61CDD"/>
    <w:rsid w:val="00E70043"/>
    <w:rsid w:val="00E73E17"/>
    <w:rsid w:val="00E807C2"/>
    <w:rsid w:val="00E864F4"/>
    <w:rsid w:val="00E936C8"/>
    <w:rsid w:val="00E95C5B"/>
    <w:rsid w:val="00EA6BA4"/>
    <w:rsid w:val="00EB2A41"/>
    <w:rsid w:val="00EC37A3"/>
    <w:rsid w:val="00EC5131"/>
    <w:rsid w:val="00EC63BD"/>
    <w:rsid w:val="00EC747A"/>
    <w:rsid w:val="00EE7CE7"/>
    <w:rsid w:val="00EF2BEC"/>
    <w:rsid w:val="00EF452B"/>
    <w:rsid w:val="00EF4899"/>
    <w:rsid w:val="00F00EDA"/>
    <w:rsid w:val="00F028EB"/>
    <w:rsid w:val="00F06FB4"/>
    <w:rsid w:val="00F21535"/>
    <w:rsid w:val="00F2449F"/>
    <w:rsid w:val="00F25EAE"/>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17"/>
    <w:rPr>
      <w:sz w:val="24"/>
      <w:szCs w:val="24"/>
    </w:rPr>
  </w:style>
  <w:style w:type="paragraph" w:styleId="Titre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DA410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Znak Znak Znak Znak Car,Znak Znak Znak Znak Car"/>
    <w:link w:val="Titre2"/>
    <w:rsid w:val="00DA410F"/>
    <w:rPr>
      <w:rFonts w:ascii="Arial" w:hAnsi="Arial" w:cs="Arial"/>
      <w:b/>
      <w:bCs/>
      <w:i/>
      <w:iCs/>
      <w:sz w:val="28"/>
      <w:szCs w:val="28"/>
      <w:lang w:val="fr-FR" w:eastAsia="en-GB" w:bidi="ar-SA"/>
    </w:rPr>
  </w:style>
  <w:style w:type="paragraph" w:styleId="Textebrut">
    <w:name w:val="Plain Text"/>
    <w:basedOn w:val="Normal"/>
    <w:rsid w:val="00DA410F"/>
    <w:rPr>
      <w:rFonts w:ascii="Courier New" w:hAnsi="Courier New" w:cs="Courier New"/>
      <w:sz w:val="20"/>
      <w:szCs w:val="20"/>
    </w:rPr>
  </w:style>
  <w:style w:type="character" w:styleId="Lienhypertexte">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fr-FR" w:eastAsia="zh-CN" w:bidi="ar-SA"/>
    </w:rPr>
  </w:style>
  <w:style w:type="character" w:styleId="Appelnotedebasdep">
    <w:name w:val="footnote reference"/>
    <w:semiHidden/>
    <w:rsid w:val="00DA410F"/>
    <w:rPr>
      <w:vertAlign w:val="superscript"/>
    </w:rPr>
  </w:style>
  <w:style w:type="paragraph" w:styleId="Notedebasdepage">
    <w:name w:val="footnote text"/>
    <w:basedOn w:val="Normal"/>
    <w:semiHidden/>
    <w:rsid w:val="00DA410F"/>
    <w:pPr>
      <w:ind w:left="720" w:hanging="720"/>
      <w:jc w:val="both"/>
    </w:pPr>
    <w:rPr>
      <w:sz w:val="20"/>
      <w:szCs w:val="20"/>
      <w:lang w:eastAsia="zh-CN"/>
    </w:rPr>
  </w:style>
  <w:style w:type="paragraph" w:styleId="Listepuce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epucesCar"/>
    <w:rsid w:val="00DA410F"/>
    <w:pPr>
      <w:numPr>
        <w:numId w:val="2"/>
      </w:numPr>
    </w:pPr>
  </w:style>
  <w:style w:type="character" w:customStyle="1" w:styleId="ListepucesCar">
    <w:name w:val="Liste à puces Car"/>
    <w:aliases w:val="List Bullet Char Car,List Bullet Char1 Char Car,List Bullet Char Char Char Car,List Bullet Char1 Char Char Char Car,List Bullet Char Char Char Char Char Car,List Bullet Char Char1 Car,List Bullet Char1 Char Char1 Car"/>
    <w:link w:val="Listepuces"/>
    <w:rsid w:val="00DA410F"/>
    <w:rPr>
      <w:sz w:val="24"/>
      <w:szCs w:val="24"/>
      <w:lang w:val="fr-FR" w:eastAsia="en-GB" w:bidi="ar-SA"/>
    </w:rPr>
  </w:style>
  <w:style w:type="paragraph" w:styleId="En-tte">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Policepardfau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Titre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Explorateurdedocuments">
    <w:name w:val="Document Map"/>
    <w:basedOn w:val="Normal"/>
    <w:semiHidden/>
    <w:rsid w:val="00DA410F"/>
    <w:pPr>
      <w:shd w:val="clear" w:color="auto" w:fill="000080"/>
    </w:pPr>
    <w:rPr>
      <w:rFonts w:ascii="Tahoma" w:hAnsi="Tahoma" w:cs="Tahoma"/>
      <w:sz w:val="20"/>
      <w:szCs w:val="20"/>
    </w:rPr>
  </w:style>
  <w:style w:type="paragraph" w:styleId="Pieddepage">
    <w:name w:val="footer"/>
    <w:basedOn w:val="Normal"/>
    <w:link w:val="PieddepageCar"/>
    <w:uiPriority w:val="99"/>
    <w:rsid w:val="00670A9C"/>
    <w:pPr>
      <w:tabs>
        <w:tab w:val="center" w:pos="4536"/>
        <w:tab w:val="right" w:pos="9072"/>
      </w:tabs>
    </w:pPr>
  </w:style>
  <w:style w:type="character" w:styleId="Marquedecommentaire">
    <w:name w:val="annotation reference"/>
    <w:uiPriority w:val="99"/>
    <w:rsid w:val="00730771"/>
    <w:rPr>
      <w:sz w:val="16"/>
      <w:szCs w:val="16"/>
    </w:rPr>
  </w:style>
  <w:style w:type="paragraph" w:styleId="Commentaire">
    <w:name w:val="annotation text"/>
    <w:basedOn w:val="Normal"/>
    <w:link w:val="CommentaireCar"/>
    <w:uiPriority w:val="99"/>
    <w:rsid w:val="00730771"/>
    <w:rPr>
      <w:sz w:val="20"/>
      <w:szCs w:val="20"/>
    </w:rPr>
  </w:style>
  <w:style w:type="character" w:customStyle="1" w:styleId="CommentaireCar">
    <w:name w:val="Commentaire Car"/>
    <w:basedOn w:val="Policepardfaut"/>
    <w:link w:val="Commentaire"/>
    <w:uiPriority w:val="99"/>
    <w:rsid w:val="00730771"/>
  </w:style>
  <w:style w:type="paragraph" w:styleId="Corpsdetexte">
    <w:name w:val="Body Text"/>
    <w:basedOn w:val="Normal"/>
    <w:link w:val="CorpsdetexteCar"/>
    <w:unhideWhenUsed/>
    <w:rsid w:val="00CB5635"/>
    <w:pPr>
      <w:jc w:val="both"/>
    </w:pPr>
    <w:rPr>
      <w:rFonts w:ascii="Arial" w:hAnsi="Arial" w:cs="Arial"/>
      <w:szCs w:val="20"/>
      <w:lang w:eastAsia="de-DE"/>
    </w:rPr>
  </w:style>
  <w:style w:type="character" w:customStyle="1" w:styleId="CorpsdetexteCar">
    <w:name w:val="Corps de texte Car"/>
    <w:link w:val="Corpsdetexte"/>
    <w:rsid w:val="00CB5635"/>
    <w:rPr>
      <w:rFonts w:ascii="Arial" w:hAnsi="Arial" w:cs="Arial"/>
      <w:sz w:val="24"/>
      <w:lang w:val="fr-FR" w:eastAsia="de-DE"/>
    </w:rPr>
  </w:style>
  <w:style w:type="paragraph" w:styleId="Textedebulles">
    <w:name w:val="Balloon Text"/>
    <w:basedOn w:val="Normal"/>
    <w:link w:val="TextedebullesCar"/>
    <w:rsid w:val="00060716"/>
    <w:rPr>
      <w:rFonts w:ascii="Tahoma" w:hAnsi="Tahoma" w:cs="Tahoma"/>
      <w:sz w:val="16"/>
      <w:szCs w:val="16"/>
    </w:rPr>
  </w:style>
  <w:style w:type="character" w:customStyle="1" w:styleId="TextedebullesCar">
    <w:name w:val="Texte de bulles Car"/>
    <w:link w:val="Textedebulles"/>
    <w:rsid w:val="00060716"/>
    <w:rPr>
      <w:rFonts w:ascii="Tahoma" w:hAnsi="Tahoma" w:cs="Tahoma"/>
      <w:sz w:val="16"/>
      <w:szCs w:val="16"/>
      <w:lang w:val="fr-FR" w:eastAsia="en-GB"/>
    </w:rPr>
  </w:style>
  <w:style w:type="paragraph" w:styleId="Rvision">
    <w:name w:val="Revision"/>
    <w:hidden/>
    <w:uiPriority w:val="99"/>
    <w:semiHidden/>
    <w:rsid w:val="00060716"/>
    <w:rPr>
      <w:sz w:val="24"/>
      <w:szCs w:val="24"/>
    </w:rPr>
  </w:style>
  <w:style w:type="table" w:styleId="Grilledutableau">
    <w:name w:val="Table Grid"/>
    <w:basedOn w:val="Tableau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uiPriority w:val="99"/>
    <w:rsid w:val="00583379"/>
    <w:rPr>
      <w:sz w:val="24"/>
      <w:szCs w:val="24"/>
    </w:rPr>
  </w:style>
  <w:style w:type="paragraph" w:styleId="Titre">
    <w:name w:val="Title"/>
    <w:basedOn w:val="Normal"/>
    <w:next w:val="Normal"/>
    <w:link w:val="TitreCar"/>
    <w:qFormat/>
    <w:rsid w:val="00FF0711"/>
    <w:pPr>
      <w:spacing w:before="360" w:after="240"/>
      <w:outlineLvl w:val="0"/>
    </w:pPr>
    <w:rPr>
      <w:rFonts w:ascii="Times New Roman Bold" w:hAnsi="Times New Roman Bold"/>
      <w:b/>
      <w:bCs/>
      <w:smallCaps/>
      <w:kern w:val="28"/>
      <w:szCs w:val="32"/>
    </w:rPr>
  </w:style>
  <w:style w:type="character" w:customStyle="1" w:styleId="TitreCar">
    <w:name w:val="Titre Car"/>
    <w:link w:val="Titre"/>
    <w:rsid w:val="00FF0711"/>
    <w:rPr>
      <w:rFonts w:ascii="Times New Roman Bold" w:eastAsia="Times New Roman" w:hAnsi="Times New Roman Bold" w:cs="Times New Roman"/>
      <w:b/>
      <w:bCs/>
      <w:smallCaps/>
      <w:kern w:val="28"/>
      <w:sz w:val="24"/>
      <w:szCs w:val="32"/>
    </w:rPr>
  </w:style>
  <w:style w:type="paragraph" w:styleId="Objetducommentaire">
    <w:name w:val="annotation subject"/>
    <w:basedOn w:val="Commentaire"/>
    <w:next w:val="Commentaire"/>
    <w:link w:val="ObjetducommentaireCar"/>
    <w:rsid w:val="004729C1"/>
    <w:rPr>
      <w:b/>
      <w:bCs/>
    </w:rPr>
  </w:style>
  <w:style w:type="character" w:customStyle="1" w:styleId="ObjetducommentaireCar">
    <w:name w:val="Objet du commentaire Car"/>
    <w:basedOn w:val="CommentaireCar"/>
    <w:link w:val="Objetducommentaire"/>
    <w:rsid w:val="004729C1"/>
    <w:rPr>
      <w:b/>
      <w:bCs/>
    </w:rPr>
  </w:style>
  <w:style w:type="paragraph" w:styleId="Paragraphedeliste">
    <w:name w:val="List Paragraph"/>
    <w:basedOn w:val="Normal"/>
    <w:uiPriority w:val="34"/>
    <w:qFormat/>
    <w:rsid w:val="00D640BE"/>
    <w:pPr>
      <w:ind w:left="720"/>
      <w:contextualSpacing/>
    </w:pPr>
  </w:style>
</w:styles>
</file>

<file path=word/webSettings.xml><?xml version="1.0" encoding="utf-8"?>
<w:webSettings xmlns:r="http://schemas.openxmlformats.org/officeDocument/2006/relationships" xmlns:w="http://schemas.openxmlformats.org/wordprocessingml/2006/main">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12405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4.xml><?xml version="1.0" encoding="utf-8"?>
<ds:datastoreItem xmlns:ds="http://schemas.openxmlformats.org/officeDocument/2006/customXml" ds:itemID="{DA41B1D6-4CDB-408D-923E-8012E4AD9D5C}">
  <ds:schemaRefs>
    <ds:schemaRef ds:uri="http://schemas.openxmlformats.org/officeDocument/2006/bibliography"/>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6323</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 Declaration on Honour</vt:lpstr>
      <vt:lpstr>Model Declaration on Honour</vt:lpstr>
    </vt:vector>
  </TitlesOfParts>
  <Company>European Commission</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Baccara Hassan</cp:lastModifiedBy>
  <cp:revision>2</cp:revision>
  <cp:lastPrinted>2018-07-23T14:42:00Z</cp:lastPrinted>
  <dcterms:created xsi:type="dcterms:W3CDTF">2021-12-10T07:43:00Z</dcterms:created>
  <dcterms:modified xsi:type="dcterms:W3CDTF">2021-12-10T07:43:00Z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